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E5" w:rsidRDefault="007834E5" w:rsidP="007834E5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13518923" cy="2784144"/>
            <wp:effectExtent l="0" t="0" r="6985" b="0"/>
            <wp:docPr id="1" name="Kép 1" descr="C:\Users\PC\AppData\Local\Microsoft\Windows\INetCache\Content.Word\CorelDRAW X5 in Dokumentum3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AppData\Local\Microsoft\Windows\INetCache\Content.Word\CorelDRAW X5 in Dokumentum3s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927" cy="280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4E5" w:rsidRDefault="007834E5" w:rsidP="007834E5">
      <w:pPr>
        <w:rPr>
          <w:rFonts w:ascii="Arial" w:hAnsi="Arial" w:cs="Arial"/>
          <w:b/>
          <w:sz w:val="20"/>
          <w:szCs w:val="20"/>
        </w:rPr>
      </w:pPr>
    </w:p>
    <w:p w:rsidR="007834E5" w:rsidRDefault="007834E5" w:rsidP="007834E5">
      <w:pPr>
        <w:rPr>
          <w:rFonts w:ascii="Arial" w:hAnsi="Arial" w:cs="Arial"/>
          <w:b/>
          <w:sz w:val="56"/>
          <w:szCs w:val="56"/>
        </w:rPr>
      </w:pPr>
    </w:p>
    <w:p w:rsidR="007834E5" w:rsidRPr="007834E5" w:rsidRDefault="007834E5" w:rsidP="007834E5">
      <w:pPr>
        <w:rPr>
          <w:rFonts w:ascii="Arial" w:hAnsi="Arial" w:cs="Arial"/>
          <w:b/>
          <w:sz w:val="72"/>
          <w:szCs w:val="72"/>
        </w:rPr>
      </w:pPr>
    </w:p>
    <w:p w:rsidR="007834E5" w:rsidRPr="007834E5" w:rsidRDefault="007834E5" w:rsidP="007834E5">
      <w:pPr>
        <w:rPr>
          <w:rFonts w:ascii="Arial" w:hAnsi="Arial" w:cs="Arial"/>
          <w:b/>
          <w:sz w:val="72"/>
          <w:szCs w:val="72"/>
        </w:rPr>
      </w:pPr>
      <w:r w:rsidRPr="007834E5">
        <w:rPr>
          <w:rFonts w:ascii="Arial" w:hAnsi="Arial" w:cs="Arial"/>
          <w:b/>
          <w:sz w:val="72"/>
          <w:szCs w:val="72"/>
        </w:rPr>
        <w:t xml:space="preserve">Názov projektu: </w:t>
      </w:r>
      <w:r w:rsidRPr="007834E5">
        <w:rPr>
          <w:rFonts w:ascii="Arial" w:hAnsi="Arial" w:cs="Arial"/>
          <w:b/>
          <w:sz w:val="72"/>
          <w:szCs w:val="72"/>
        </w:rPr>
        <w:tab/>
        <w:t xml:space="preserve">Uzamykateľný prístrešok </w:t>
      </w:r>
    </w:p>
    <w:p w:rsidR="007834E5" w:rsidRPr="007834E5" w:rsidRDefault="007834E5" w:rsidP="007834E5">
      <w:pPr>
        <w:ind w:left="7788"/>
        <w:rPr>
          <w:rFonts w:ascii="Arial" w:hAnsi="Arial" w:cs="Arial"/>
          <w:b/>
          <w:sz w:val="72"/>
          <w:szCs w:val="72"/>
        </w:rPr>
      </w:pPr>
      <w:r w:rsidRPr="007834E5">
        <w:rPr>
          <w:rFonts w:ascii="Arial" w:hAnsi="Arial" w:cs="Arial"/>
          <w:b/>
          <w:sz w:val="72"/>
          <w:szCs w:val="72"/>
        </w:rPr>
        <w:t>pre bicykle Dolný Bar</w:t>
      </w:r>
    </w:p>
    <w:p w:rsidR="007834E5" w:rsidRPr="007834E5" w:rsidRDefault="007834E5" w:rsidP="007834E5">
      <w:pPr>
        <w:rPr>
          <w:rFonts w:ascii="Arial" w:hAnsi="Arial" w:cs="Arial"/>
          <w:b/>
          <w:sz w:val="72"/>
          <w:szCs w:val="72"/>
        </w:rPr>
      </w:pPr>
    </w:p>
    <w:p w:rsidR="007834E5" w:rsidRDefault="007834E5" w:rsidP="007834E5">
      <w:pPr>
        <w:ind w:left="6372" w:hanging="6372"/>
        <w:rPr>
          <w:rFonts w:ascii="Arial" w:hAnsi="Arial" w:cs="Arial"/>
          <w:b/>
          <w:sz w:val="72"/>
          <w:szCs w:val="72"/>
        </w:rPr>
      </w:pPr>
      <w:r w:rsidRPr="007834E5">
        <w:rPr>
          <w:rFonts w:ascii="Arial" w:hAnsi="Arial" w:cs="Arial"/>
          <w:b/>
          <w:sz w:val="72"/>
          <w:szCs w:val="72"/>
        </w:rPr>
        <w:t>Hlavný cieľ:</w:t>
      </w:r>
      <w:r>
        <w:rPr>
          <w:rFonts w:ascii="Arial" w:hAnsi="Arial" w:cs="Arial"/>
          <w:b/>
          <w:sz w:val="72"/>
          <w:szCs w:val="72"/>
        </w:rPr>
        <w:t xml:space="preserve">  Zlepšenie kvality základných</w:t>
      </w:r>
      <w:r w:rsidRPr="007834E5">
        <w:rPr>
          <w:rFonts w:ascii="Arial" w:hAnsi="Arial" w:cs="Arial"/>
          <w:b/>
          <w:sz w:val="72"/>
          <w:szCs w:val="72"/>
        </w:rPr>
        <w:t xml:space="preserve"> </w:t>
      </w:r>
      <w:r>
        <w:rPr>
          <w:rFonts w:ascii="Arial" w:hAnsi="Arial" w:cs="Arial"/>
          <w:b/>
          <w:sz w:val="72"/>
          <w:szCs w:val="72"/>
        </w:rPr>
        <w:t xml:space="preserve">služieb </w:t>
      </w:r>
    </w:p>
    <w:p w:rsidR="004D2883" w:rsidRDefault="007834E5" w:rsidP="007834E5">
      <w:pPr>
        <w:ind w:left="6372" w:hanging="2124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 pre </w:t>
      </w:r>
      <w:r w:rsidRPr="007834E5">
        <w:rPr>
          <w:rFonts w:ascii="Arial" w:hAnsi="Arial" w:cs="Arial"/>
          <w:b/>
          <w:sz w:val="72"/>
          <w:szCs w:val="72"/>
        </w:rPr>
        <w:t>obyvateľov a</w:t>
      </w:r>
      <w:r w:rsidR="00313A6C">
        <w:rPr>
          <w:rFonts w:ascii="Arial" w:hAnsi="Arial" w:cs="Arial"/>
          <w:b/>
          <w:sz w:val="72"/>
          <w:szCs w:val="72"/>
        </w:rPr>
        <w:t> </w:t>
      </w:r>
      <w:r w:rsidRPr="007834E5">
        <w:rPr>
          <w:rFonts w:ascii="Arial" w:hAnsi="Arial" w:cs="Arial"/>
          <w:b/>
          <w:sz w:val="72"/>
          <w:szCs w:val="72"/>
        </w:rPr>
        <w:t>návštevníkov</w:t>
      </w:r>
    </w:p>
    <w:p w:rsidR="00313A6C" w:rsidRDefault="00313A6C" w:rsidP="007834E5">
      <w:pPr>
        <w:ind w:left="6372" w:hanging="2124"/>
        <w:rPr>
          <w:rFonts w:ascii="Arial" w:hAnsi="Arial" w:cs="Arial"/>
          <w:b/>
          <w:sz w:val="72"/>
          <w:szCs w:val="72"/>
        </w:rPr>
      </w:pPr>
    </w:p>
    <w:p w:rsidR="00313A6C" w:rsidRPr="00313A6C" w:rsidRDefault="00313A6C" w:rsidP="00313A6C">
      <w:pPr>
        <w:ind w:left="6372" w:hanging="6372"/>
        <w:rPr>
          <w:rFonts w:ascii="Arial" w:hAnsi="Arial" w:cs="Arial"/>
          <w:b/>
          <w:sz w:val="48"/>
          <w:szCs w:val="48"/>
        </w:rPr>
      </w:pPr>
      <w:r w:rsidRPr="00313A6C">
        <w:rPr>
          <w:rFonts w:ascii="Arial" w:hAnsi="Arial" w:cs="Arial"/>
          <w:b/>
          <w:sz w:val="48"/>
          <w:szCs w:val="48"/>
        </w:rPr>
        <w:t>Opatrenie: 7- Základné služby a obnova dedín vo vidieckych oblastiach</w:t>
      </w:r>
    </w:p>
    <w:p w:rsidR="00313A6C" w:rsidRDefault="00313A6C" w:rsidP="00313A6C">
      <w:pPr>
        <w:ind w:left="6372" w:hanging="6372"/>
        <w:rPr>
          <w:rFonts w:ascii="Arial" w:hAnsi="Arial" w:cs="Arial"/>
          <w:b/>
          <w:sz w:val="48"/>
          <w:szCs w:val="48"/>
        </w:rPr>
      </w:pPr>
      <w:r w:rsidRPr="00313A6C">
        <w:rPr>
          <w:rFonts w:ascii="Arial" w:hAnsi="Arial" w:cs="Arial"/>
          <w:b/>
          <w:sz w:val="48"/>
          <w:szCs w:val="48"/>
        </w:rPr>
        <w:t xml:space="preserve">                    7.5 Podpora na investície do rekreačnej infraštruktúry, turistických informácií a do turistickej infraštruktúry malých rozmerov na verejné využitie</w:t>
      </w:r>
    </w:p>
    <w:p w:rsidR="00313A6C" w:rsidRPr="00313A6C" w:rsidRDefault="00313A6C" w:rsidP="00313A6C">
      <w:pPr>
        <w:ind w:left="6372" w:hanging="6372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Nenávratný finančný príspevok: 31 759,91 EUR</w:t>
      </w:r>
      <w:bookmarkStart w:id="0" w:name="_GoBack"/>
      <w:bookmarkEnd w:id="0"/>
    </w:p>
    <w:sectPr w:rsidR="00313A6C" w:rsidRPr="00313A6C" w:rsidSect="007834E5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E5"/>
    <w:rsid w:val="00313A6C"/>
    <w:rsid w:val="004D2883"/>
    <w:rsid w:val="007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347BA-2FC1-4471-823B-51F72F41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Horvath</dc:creator>
  <cp:keywords/>
  <dc:description/>
  <cp:lastModifiedBy>CSÖLLEOVÁ Andrea</cp:lastModifiedBy>
  <cp:revision>3</cp:revision>
  <dcterms:created xsi:type="dcterms:W3CDTF">2019-08-07T10:50:00Z</dcterms:created>
  <dcterms:modified xsi:type="dcterms:W3CDTF">2019-08-07T12:17:00Z</dcterms:modified>
</cp:coreProperties>
</file>